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5892D6BA" w14:textId="6EA22E89" w:rsidR="00A14275" w:rsidRDefault="00A14275"/>
    <w:p w14:paraId="25885C12" w14:textId="3E104EA5" w:rsidR="00A14275" w:rsidRDefault="00E736C0"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0543A9B" wp14:editId="12A5E1C4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332068" cy="594360"/>
            <wp:effectExtent l="266700" t="285750" r="268605" b="281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 trans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68" cy="594360"/>
                    </a:xfrm>
                    <a:prstGeom prst="rect">
                      <a:avLst/>
                    </a:prstGeom>
                    <a:ln w="228600" cap="sq" cmpd="thickThin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miter lim="800000"/>
                    </a:ln>
                    <a:effectLst>
                      <a:innerShdw blurRad="76200">
                        <a:schemeClr val="tx2">
                          <a:lumMod val="60000"/>
                          <a:lumOff val="40000"/>
                        </a:schemeClr>
                      </a:innerShdw>
                    </a:effectLst>
                    <a:scene3d>
                      <a:camera prst="orthographicFront"/>
                      <a:lightRig rig="chilly" dir="t"/>
                    </a:scene3d>
                    <a:sp3d prstMaterial="softEdge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CFED0" w14:textId="77777777" w:rsidR="00A14275" w:rsidRDefault="00A14275"/>
    <w:tbl>
      <w:tblPr>
        <w:tblpPr w:leftFromText="180" w:rightFromText="180" w:vertAnchor="text" w:horzAnchor="margin" w:tblpY="774"/>
        <w:tblW w:w="0" w:type="auto"/>
        <w:tblLook w:val="01E0" w:firstRow="1" w:lastRow="1" w:firstColumn="1" w:lastColumn="1" w:noHBand="0" w:noVBand="0"/>
      </w:tblPr>
      <w:tblGrid>
        <w:gridCol w:w="10710"/>
      </w:tblGrid>
      <w:tr w:rsidR="00CA1E01" w:rsidRPr="002578A6" w14:paraId="55ADC04B" w14:textId="77777777" w:rsidTr="00CA1E01">
        <w:trPr>
          <w:trHeight w:val="1782"/>
        </w:trPr>
        <w:tc>
          <w:tcPr>
            <w:tcW w:w="10710" w:type="dxa"/>
          </w:tcPr>
          <w:p w14:paraId="5D3D9AE0" w14:textId="37868104" w:rsidR="00AD1CC2" w:rsidRPr="00095E0C" w:rsidRDefault="00AD1CC2" w:rsidP="00AD1CC2">
            <w:pPr>
              <w:jc w:val="center"/>
              <w:rPr>
                <w:b/>
                <w:sz w:val="28"/>
                <w:szCs w:val="28"/>
              </w:rPr>
            </w:pPr>
            <w:r w:rsidRPr="00095E0C">
              <w:rPr>
                <w:b/>
                <w:sz w:val="28"/>
                <w:szCs w:val="28"/>
              </w:rPr>
              <w:t>Worldwide Staffing Exchange, LLC</w:t>
            </w:r>
          </w:p>
          <w:p w14:paraId="1F6B683B" w14:textId="1BF83B80" w:rsidR="00CA1E01" w:rsidRPr="00D409D5" w:rsidRDefault="00CA1E01" w:rsidP="00CA1E01">
            <w:pPr>
              <w:jc w:val="center"/>
              <w:rPr>
                <w:b/>
              </w:rPr>
            </w:pPr>
            <w:r w:rsidRPr="00D409D5">
              <w:rPr>
                <w:b/>
              </w:rPr>
              <w:t>Kimberly Abderrahmane</w:t>
            </w:r>
          </w:p>
          <w:p w14:paraId="768A65A3" w14:textId="74C696E6" w:rsidR="00CA1E01" w:rsidRDefault="00CA1E01" w:rsidP="00CA1E01">
            <w:pPr>
              <w:jc w:val="center"/>
              <w:rPr>
                <w:i/>
              </w:rPr>
            </w:pPr>
            <w:r w:rsidRPr="00AA11C0">
              <w:rPr>
                <w:i/>
                <w:sz w:val="22"/>
                <w:szCs w:val="22"/>
              </w:rPr>
              <w:t>President</w:t>
            </w:r>
            <w:r>
              <w:rPr>
                <w:i/>
                <w:sz w:val="22"/>
                <w:szCs w:val="22"/>
              </w:rPr>
              <w:t>/Owner</w:t>
            </w:r>
          </w:p>
          <w:p w14:paraId="366A25FC" w14:textId="78AD049C" w:rsidR="00CA1E01" w:rsidRDefault="004C690A" w:rsidP="00CA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 Autumn Glen Way</w:t>
            </w:r>
          </w:p>
          <w:p w14:paraId="6D9FBA58" w14:textId="1658D105" w:rsidR="004D25E8" w:rsidRPr="002578A6" w:rsidRDefault="004C690A" w:rsidP="00CA1E01">
            <w:pPr>
              <w:jc w:val="center"/>
            </w:pPr>
            <w:r>
              <w:t>Dacula, GA 30019</w:t>
            </w:r>
          </w:p>
          <w:p w14:paraId="2140137C" w14:textId="0E2EF807" w:rsidR="00CA1E01" w:rsidRPr="002578A6" w:rsidRDefault="00CA1E01" w:rsidP="00CA1E01">
            <w:pPr>
              <w:jc w:val="center"/>
            </w:pPr>
            <w:r w:rsidRPr="002578A6">
              <w:rPr>
                <w:sz w:val="22"/>
                <w:szCs w:val="22"/>
              </w:rPr>
              <w:t xml:space="preserve">Office: (301) </w:t>
            </w:r>
            <w:r w:rsidR="004D25E8">
              <w:rPr>
                <w:sz w:val="22"/>
                <w:szCs w:val="22"/>
              </w:rPr>
              <w:t>399-6091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Franklin Gothic Medium Cond" w:hAnsi="Franklin Gothic Medium Cond"/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="004C690A">
              <w:rPr>
                <w:sz w:val="22"/>
                <w:szCs w:val="22"/>
              </w:rPr>
              <w:t>(770) 661-1489</w:t>
            </w:r>
          </w:p>
          <w:p w14:paraId="323834D8" w14:textId="77777777" w:rsidR="00CA1E01" w:rsidRDefault="00CA1E01" w:rsidP="00CA1E01">
            <w:pPr>
              <w:jc w:val="center"/>
              <w:rPr>
                <w:sz w:val="22"/>
                <w:szCs w:val="22"/>
              </w:rPr>
            </w:pPr>
            <w:r w:rsidRPr="00C42A54">
              <w:rPr>
                <w:sz w:val="22"/>
                <w:szCs w:val="22"/>
              </w:rPr>
              <w:t>www.worldwidestaffingexchange.us</w:t>
            </w:r>
          </w:p>
          <w:p w14:paraId="3150102C" w14:textId="417D8A67" w:rsidR="00CA1E01" w:rsidRPr="00002D27" w:rsidRDefault="00CA1E01" w:rsidP="00CA1E01">
            <w:pPr>
              <w:ind w:right="-1338"/>
              <w:jc w:val="both"/>
              <w:rPr>
                <w:rStyle w:val="Hyperlink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Email:</w:t>
            </w:r>
            <w:r w:rsidR="00002D27">
              <w:t xml:space="preserve"> kimabderrahmane@wwseatl.onmicrosoft.com</w:t>
            </w:r>
            <w:r w:rsidR="00002D27" w:rsidRPr="00002D27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</w:p>
          <w:p w14:paraId="67892952" w14:textId="04E40994" w:rsidR="00CA1E01" w:rsidRDefault="00CA1E01" w:rsidP="00CA1E01">
            <w:pPr>
              <w:ind w:right="-1338"/>
              <w:jc w:val="both"/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1403179E" w14:textId="77777777" w:rsidR="00CA1E01" w:rsidRPr="002578A6" w:rsidRDefault="00CA1E01" w:rsidP="00CA1E01">
            <w:pPr>
              <w:spacing w:line="120" w:lineRule="auto"/>
            </w:pPr>
          </w:p>
        </w:tc>
      </w:tr>
      <w:tr w:rsidR="00CA1E01" w:rsidRPr="002578A6" w14:paraId="4CE0048F" w14:textId="77777777" w:rsidTr="00CA1E01">
        <w:trPr>
          <w:trHeight w:val="1782"/>
        </w:trPr>
        <w:tc>
          <w:tcPr>
            <w:tcW w:w="10710" w:type="dxa"/>
          </w:tcPr>
          <w:p w14:paraId="05B6EA6C" w14:textId="77777777" w:rsidR="00CA1E01" w:rsidRDefault="00CA1E01" w:rsidP="00CA1E01">
            <w:pPr>
              <w:rPr>
                <w:sz w:val="22"/>
                <w:szCs w:val="22"/>
              </w:rPr>
            </w:pPr>
          </w:p>
          <w:p w14:paraId="554BD74C" w14:textId="55A6FF91" w:rsidR="00CA1E01" w:rsidRPr="000821BB" w:rsidRDefault="00CA1E01" w:rsidP="00CA1E01">
            <w:pPr>
              <w:ind w:right="230"/>
              <w:rPr>
                <w:sz w:val="22"/>
                <w:szCs w:val="22"/>
              </w:rPr>
            </w:pPr>
            <w:r w:rsidRPr="000821BB">
              <w:rPr>
                <w:sz w:val="22"/>
                <w:szCs w:val="22"/>
              </w:rPr>
              <w:t>Worldwide Staffing Exchange, LLC (</w:t>
            </w:r>
            <w:r w:rsidR="00683AB1">
              <w:rPr>
                <w:sz w:val="22"/>
                <w:szCs w:val="22"/>
              </w:rPr>
              <w:t>“</w:t>
            </w:r>
            <w:r w:rsidRPr="000821BB">
              <w:rPr>
                <w:sz w:val="22"/>
                <w:szCs w:val="22"/>
              </w:rPr>
              <w:t>WWSE</w:t>
            </w:r>
            <w:r w:rsidR="00683AB1">
              <w:rPr>
                <w:sz w:val="22"/>
                <w:szCs w:val="22"/>
              </w:rPr>
              <w:t>”</w:t>
            </w:r>
            <w:r w:rsidRPr="000821BB">
              <w:rPr>
                <w:sz w:val="22"/>
                <w:szCs w:val="22"/>
              </w:rPr>
              <w:t xml:space="preserve">) is a client-oriented company focused on delivering quality </w:t>
            </w:r>
            <w:r w:rsidR="00423022" w:rsidRPr="000821BB">
              <w:rPr>
                <w:sz w:val="22"/>
                <w:szCs w:val="22"/>
              </w:rPr>
              <w:t xml:space="preserve">human resource </w:t>
            </w:r>
            <w:r w:rsidR="00FF3A08" w:rsidRPr="000821BB">
              <w:rPr>
                <w:sz w:val="22"/>
                <w:szCs w:val="22"/>
              </w:rPr>
              <w:t xml:space="preserve">solutions </w:t>
            </w:r>
            <w:r w:rsidR="00006DEB" w:rsidRPr="000821BB">
              <w:rPr>
                <w:sz w:val="22"/>
                <w:szCs w:val="22"/>
              </w:rPr>
              <w:t>for</w:t>
            </w:r>
            <w:r w:rsidRPr="000821BB">
              <w:rPr>
                <w:sz w:val="22"/>
                <w:szCs w:val="22"/>
              </w:rPr>
              <w:t xml:space="preserve"> our clients’ benefit.  WWSE specializes in providing top federal government agencies with </w:t>
            </w:r>
            <w:r w:rsidR="006562F7" w:rsidRPr="000821BB">
              <w:rPr>
                <w:sz w:val="22"/>
                <w:szCs w:val="22"/>
              </w:rPr>
              <w:t xml:space="preserve">proven talent for </w:t>
            </w:r>
            <w:r w:rsidR="00E11C1C">
              <w:rPr>
                <w:sz w:val="22"/>
                <w:szCs w:val="22"/>
              </w:rPr>
              <w:t xml:space="preserve">Data Entry, </w:t>
            </w:r>
            <w:r w:rsidR="009B5204" w:rsidRPr="000821BB">
              <w:rPr>
                <w:sz w:val="22"/>
                <w:szCs w:val="22"/>
              </w:rPr>
              <w:t>Budget Analysis,</w:t>
            </w:r>
            <w:r w:rsidR="00BF07FB" w:rsidRPr="000821BB">
              <w:rPr>
                <w:sz w:val="22"/>
                <w:szCs w:val="22"/>
              </w:rPr>
              <w:t xml:space="preserve"> Office Administration,</w:t>
            </w:r>
            <w:r w:rsidRPr="000821BB">
              <w:rPr>
                <w:sz w:val="22"/>
                <w:szCs w:val="22"/>
              </w:rPr>
              <w:t xml:space="preserve"> </w:t>
            </w:r>
            <w:r w:rsidR="00E736C0">
              <w:rPr>
                <w:sz w:val="22"/>
                <w:szCs w:val="22"/>
              </w:rPr>
              <w:t>Employee Assessment Consulting, Data Entry</w:t>
            </w:r>
            <w:r w:rsidR="00606A2C">
              <w:rPr>
                <w:sz w:val="22"/>
                <w:szCs w:val="22"/>
              </w:rPr>
              <w:t xml:space="preserve"> services</w:t>
            </w:r>
            <w:r w:rsidR="00E736C0">
              <w:rPr>
                <w:sz w:val="22"/>
                <w:szCs w:val="22"/>
              </w:rPr>
              <w:t xml:space="preserve">, </w:t>
            </w:r>
            <w:r w:rsidR="00386D81" w:rsidRPr="000821BB">
              <w:rPr>
                <w:sz w:val="22"/>
                <w:szCs w:val="22"/>
              </w:rPr>
              <w:t xml:space="preserve">Project </w:t>
            </w:r>
            <w:r w:rsidR="00A61F38" w:rsidRPr="000821BB">
              <w:rPr>
                <w:sz w:val="22"/>
                <w:szCs w:val="22"/>
              </w:rPr>
              <w:t>Management</w:t>
            </w:r>
            <w:r w:rsidR="00386D81" w:rsidRPr="000821BB">
              <w:rPr>
                <w:sz w:val="22"/>
                <w:szCs w:val="22"/>
              </w:rPr>
              <w:t>,</w:t>
            </w:r>
            <w:r w:rsidR="00216690">
              <w:rPr>
                <w:sz w:val="22"/>
                <w:szCs w:val="22"/>
              </w:rPr>
              <w:t xml:space="preserve"> </w:t>
            </w:r>
            <w:r w:rsidR="004C690A">
              <w:rPr>
                <w:sz w:val="22"/>
                <w:szCs w:val="22"/>
              </w:rPr>
              <w:t xml:space="preserve">Inventory Planning and Control Management Services, </w:t>
            </w:r>
            <w:r w:rsidR="00216690">
              <w:rPr>
                <w:sz w:val="22"/>
                <w:szCs w:val="22"/>
              </w:rPr>
              <w:t>Program Management,</w:t>
            </w:r>
            <w:r w:rsidR="00386D81" w:rsidRPr="000821BB">
              <w:rPr>
                <w:sz w:val="22"/>
                <w:szCs w:val="22"/>
              </w:rPr>
              <w:t xml:space="preserve"> </w:t>
            </w:r>
            <w:r w:rsidR="00BF07FB" w:rsidRPr="000821BB">
              <w:rPr>
                <w:sz w:val="22"/>
                <w:szCs w:val="22"/>
              </w:rPr>
              <w:t>Contract Administration</w:t>
            </w:r>
            <w:r w:rsidR="006F17DF">
              <w:rPr>
                <w:sz w:val="22"/>
                <w:szCs w:val="22"/>
              </w:rPr>
              <w:t>, Legal Services,</w:t>
            </w:r>
            <w:r w:rsidR="009F2DB6">
              <w:rPr>
                <w:sz w:val="22"/>
                <w:szCs w:val="22"/>
              </w:rPr>
              <w:t xml:space="preserve"> Electrical Engineering</w:t>
            </w:r>
            <w:r w:rsidRPr="000821BB">
              <w:rPr>
                <w:sz w:val="22"/>
                <w:szCs w:val="22"/>
              </w:rPr>
              <w:t xml:space="preserve"> and Information Technology.</w:t>
            </w:r>
          </w:p>
          <w:p w14:paraId="598F62F0" w14:textId="77777777" w:rsidR="00CA1E01" w:rsidRPr="000821BB" w:rsidRDefault="00CA1E01" w:rsidP="00CA1E01">
            <w:pPr>
              <w:ind w:right="230"/>
              <w:rPr>
                <w:sz w:val="22"/>
                <w:szCs w:val="22"/>
              </w:rPr>
            </w:pPr>
          </w:p>
          <w:p w14:paraId="6CD37357" w14:textId="3933BF5B" w:rsidR="00CA1E01" w:rsidRPr="000D25FF" w:rsidRDefault="00CA1E01" w:rsidP="00CA1E01">
            <w:pPr>
              <w:spacing w:after="100"/>
              <w:rPr>
                <w:color w:val="000000"/>
                <w:sz w:val="22"/>
                <w:szCs w:val="22"/>
              </w:rPr>
            </w:pPr>
            <w:r w:rsidRPr="000821BB">
              <w:rPr>
                <w:sz w:val="22"/>
                <w:szCs w:val="22"/>
              </w:rPr>
              <w:t xml:space="preserve">Our team of recruitment specialists have expertise in identifying and presenting the right candidate for the position.  In addition to </w:t>
            </w:r>
            <w:r w:rsidR="00606A2C">
              <w:rPr>
                <w:sz w:val="22"/>
                <w:szCs w:val="22"/>
              </w:rPr>
              <w:t>20</w:t>
            </w:r>
            <w:r w:rsidRPr="000821BB">
              <w:rPr>
                <w:sz w:val="22"/>
                <w:szCs w:val="22"/>
              </w:rPr>
              <w:t xml:space="preserve"> years of combined experience in administrative</w:t>
            </w:r>
            <w:r w:rsidR="004359D1">
              <w:rPr>
                <w:sz w:val="22"/>
                <w:szCs w:val="22"/>
              </w:rPr>
              <w:t xml:space="preserve"> support</w:t>
            </w:r>
            <w:r w:rsidRPr="000821BB">
              <w:rPr>
                <w:sz w:val="22"/>
                <w:szCs w:val="22"/>
              </w:rPr>
              <w:t>, technology</w:t>
            </w:r>
            <w:r w:rsidR="00CD1B4A" w:rsidRPr="000821BB">
              <w:rPr>
                <w:sz w:val="22"/>
                <w:szCs w:val="22"/>
              </w:rPr>
              <w:t>,</w:t>
            </w:r>
            <w:r w:rsidRPr="000821BB">
              <w:rPr>
                <w:sz w:val="22"/>
                <w:szCs w:val="22"/>
              </w:rPr>
              <w:t xml:space="preserve"> and financial management, we supply our </w:t>
            </w:r>
            <w:r w:rsidR="002B65B9" w:rsidRPr="000821BB">
              <w:rPr>
                <w:sz w:val="22"/>
                <w:szCs w:val="22"/>
              </w:rPr>
              <w:t xml:space="preserve">valued </w:t>
            </w:r>
            <w:r w:rsidRPr="000821BB">
              <w:rPr>
                <w:sz w:val="22"/>
                <w:szCs w:val="22"/>
              </w:rPr>
              <w:t xml:space="preserve">clients with </w:t>
            </w:r>
            <w:r w:rsidR="002B65B9" w:rsidRPr="000821BB">
              <w:rPr>
                <w:sz w:val="22"/>
                <w:szCs w:val="22"/>
              </w:rPr>
              <w:t xml:space="preserve">competent, motivated </w:t>
            </w:r>
            <w:r w:rsidRPr="000821BB">
              <w:rPr>
                <w:sz w:val="22"/>
                <w:szCs w:val="22"/>
              </w:rPr>
              <w:t xml:space="preserve">candidates for short to long term contracts, project teams and contingency operations at reasonable and competitive rates.  Our excellence in service is marked by superior customer service practices, namely, </w:t>
            </w:r>
            <w:r w:rsidRPr="000821BB">
              <w:rPr>
                <w:bCs/>
                <w:sz w:val="22"/>
                <w:szCs w:val="22"/>
              </w:rPr>
              <w:t xml:space="preserve">professionalism in every area of the client-WWSE relationship.  </w:t>
            </w:r>
            <w:r w:rsidRPr="000821BB">
              <w:rPr>
                <w:sz w:val="22"/>
                <w:szCs w:val="22"/>
              </w:rPr>
              <w:t xml:space="preserve">Finally, we seek to </w:t>
            </w:r>
            <w:r w:rsidR="001A664B" w:rsidRPr="000821BB">
              <w:rPr>
                <w:sz w:val="22"/>
                <w:szCs w:val="22"/>
              </w:rPr>
              <w:t>ensure</w:t>
            </w:r>
            <w:r w:rsidRPr="000821BB">
              <w:rPr>
                <w:sz w:val="22"/>
                <w:szCs w:val="22"/>
              </w:rPr>
              <w:t xml:space="preserve"> our client’s</w:t>
            </w:r>
            <w:r w:rsidR="001A664B" w:rsidRPr="000821BB">
              <w:rPr>
                <w:sz w:val="22"/>
                <w:szCs w:val="22"/>
              </w:rPr>
              <w:t xml:space="preserve"> growth and sustainability</w:t>
            </w:r>
            <w:r w:rsidRPr="000821BB">
              <w:rPr>
                <w:sz w:val="22"/>
                <w:szCs w:val="22"/>
              </w:rPr>
              <w:t xml:space="preserve"> </w:t>
            </w:r>
            <w:r w:rsidR="00276025" w:rsidRPr="000821BB">
              <w:rPr>
                <w:sz w:val="22"/>
                <w:szCs w:val="22"/>
              </w:rPr>
              <w:t>which is</w:t>
            </w:r>
            <w:r w:rsidR="000821BB" w:rsidRPr="000821BB">
              <w:rPr>
                <w:sz w:val="22"/>
                <w:szCs w:val="22"/>
              </w:rPr>
              <w:t xml:space="preserve"> </w:t>
            </w:r>
            <w:r w:rsidRPr="000821BB">
              <w:rPr>
                <w:sz w:val="22"/>
                <w:szCs w:val="22"/>
              </w:rPr>
              <w:t xml:space="preserve">vitally important to increasing profitability in an ever-increasingly competitive yet exciting market! </w:t>
            </w:r>
          </w:p>
          <w:p w14:paraId="06FCCEDD" w14:textId="77777777" w:rsidR="00CA1E01" w:rsidRPr="00AB7291" w:rsidRDefault="00CA1E01" w:rsidP="00CA1E01">
            <w:pPr>
              <w:pStyle w:val="textmain1"/>
              <w:spacing w:before="0" w:beforeAutospacing="0" w:after="75" w:afterAutospacing="0" w:line="288" w:lineRule="atLeast"/>
              <w:ind w:left="225" w:right="225"/>
              <w:rPr>
                <w:b/>
                <w:sz w:val="22"/>
                <w:szCs w:val="22"/>
                <w:u w:val="single"/>
              </w:rPr>
            </w:pPr>
            <w:r w:rsidRPr="000D25FF">
              <w:rPr>
                <w:color w:val="000000"/>
                <w:sz w:val="22"/>
                <w:szCs w:val="22"/>
              </w:rPr>
              <w:t xml:space="preserve">        </w:t>
            </w:r>
            <w:r w:rsidRPr="00AB7291">
              <w:rPr>
                <w:b/>
                <w:sz w:val="22"/>
                <w:szCs w:val="22"/>
                <w:u w:val="single"/>
              </w:rPr>
              <w:t>Certifications and Listings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           </w:t>
            </w:r>
            <w:r w:rsidRPr="00AB7291">
              <w:rPr>
                <w:b/>
                <w:sz w:val="22"/>
                <w:szCs w:val="22"/>
                <w:u w:val="single"/>
              </w:rPr>
              <w:t xml:space="preserve">Registered with </w:t>
            </w:r>
            <w:r>
              <w:rPr>
                <w:b/>
                <w:sz w:val="22"/>
                <w:szCs w:val="22"/>
                <w:u w:val="single"/>
              </w:rPr>
              <w:t>SAM.GOV</w:t>
            </w:r>
          </w:p>
          <w:p w14:paraId="2B98AA4F" w14:textId="77777777" w:rsidR="00CA1E01" w:rsidRDefault="00CA1E01" w:rsidP="00CA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Maryland  Small Business Reserve Program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Cage Code:</w:t>
            </w:r>
            <w:r>
              <w:rPr>
                <w:sz w:val="22"/>
                <w:szCs w:val="22"/>
              </w:rPr>
              <w:tab/>
              <w:t>54JQ8</w:t>
            </w:r>
          </w:p>
          <w:p w14:paraId="1ACA711E" w14:textId="77777777" w:rsidR="007E11FC" w:rsidRDefault="00CA1E01" w:rsidP="00CA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LSBRP-Montgomery County Women, Minority-Owned</w:t>
            </w:r>
            <w:r>
              <w:rPr>
                <w:sz w:val="22"/>
                <w:szCs w:val="22"/>
              </w:rPr>
              <w:tab/>
              <w:t xml:space="preserve">             D&amp;B: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826899663</w:t>
            </w:r>
          </w:p>
          <w:p w14:paraId="63624C43" w14:textId="77777777" w:rsidR="007E11FC" w:rsidRPr="007E11FC" w:rsidRDefault="00CA1E01" w:rsidP="007E11FC">
            <w:pPr>
              <w:rPr>
                <w:sz w:val="22"/>
                <w:szCs w:val="22"/>
              </w:rPr>
            </w:pPr>
            <w:r w:rsidRPr="0069548E">
              <w:rPr>
                <w:b/>
              </w:rPr>
              <w:t>8(a) Business Development Certification – 1/26/15</w:t>
            </w:r>
            <w:r w:rsidR="007E11FC">
              <w:rPr>
                <w:b/>
              </w:rPr>
              <w:t xml:space="preserve">          </w:t>
            </w:r>
            <w:r w:rsidR="007E11FC" w:rsidRPr="00695B62">
              <w:rPr>
                <w:sz w:val="22"/>
                <w:szCs w:val="22"/>
              </w:rPr>
              <w:t xml:space="preserve"> EIN: </w:t>
            </w:r>
            <w:r w:rsidR="007E11FC">
              <w:rPr>
                <w:sz w:val="22"/>
                <w:szCs w:val="22"/>
              </w:rPr>
              <w:t xml:space="preserve">                  </w:t>
            </w:r>
            <w:r w:rsidR="007E11FC">
              <w:t>94-3475513</w:t>
            </w:r>
          </w:p>
          <w:p w14:paraId="7C015B59" w14:textId="26C6D076" w:rsidR="007E11FC" w:rsidRDefault="00791E70" w:rsidP="009B5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E11FC">
              <w:rPr>
                <w:b/>
                <w:sz w:val="22"/>
                <w:szCs w:val="22"/>
              </w:rPr>
              <w:t>oward County - Equal Business Opportunity Program</w:t>
            </w:r>
          </w:p>
          <w:p w14:paraId="3438036D" w14:textId="1FE5C938" w:rsidR="006725AC" w:rsidRPr="009B5204" w:rsidRDefault="006725AC" w:rsidP="009B5204">
            <w:pPr>
              <w:rPr>
                <w:b/>
              </w:rPr>
            </w:pPr>
            <w:r>
              <w:rPr>
                <w:b/>
              </w:rPr>
              <w:t>WOSB - SBA</w:t>
            </w:r>
          </w:p>
          <w:p w14:paraId="5B1A5F8A" w14:textId="77777777" w:rsidR="009B5204" w:rsidRDefault="00CA1E01" w:rsidP="00CA1E01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1DD014DD" w14:textId="77777777" w:rsidR="00CA1E01" w:rsidRPr="00AB7291" w:rsidRDefault="00CA1E01" w:rsidP="00CA1E01">
            <w:pPr>
              <w:rPr>
                <w:b/>
                <w:sz w:val="22"/>
                <w:szCs w:val="22"/>
                <w:u w:val="single"/>
              </w:rPr>
            </w:pPr>
            <w:r w:rsidRPr="00AB7291">
              <w:rPr>
                <w:b/>
                <w:sz w:val="22"/>
                <w:szCs w:val="22"/>
                <w:u w:val="single"/>
              </w:rPr>
              <w:t>P</w:t>
            </w:r>
            <w:r>
              <w:rPr>
                <w:b/>
                <w:sz w:val="22"/>
                <w:szCs w:val="22"/>
                <w:u w:val="single"/>
              </w:rPr>
              <w:t>rimary</w:t>
            </w:r>
            <w:r w:rsidRPr="00AB7291">
              <w:rPr>
                <w:b/>
                <w:sz w:val="22"/>
                <w:szCs w:val="22"/>
                <w:u w:val="single"/>
              </w:rPr>
              <w:t xml:space="preserve"> NA</w:t>
            </w:r>
            <w:r w:rsidR="00A51816">
              <w:rPr>
                <w:b/>
                <w:sz w:val="22"/>
                <w:szCs w:val="22"/>
                <w:u w:val="single"/>
              </w:rPr>
              <w:t>I</w:t>
            </w:r>
            <w:r w:rsidRPr="00AB7291">
              <w:rPr>
                <w:b/>
                <w:sz w:val="22"/>
                <w:szCs w:val="22"/>
                <w:u w:val="single"/>
              </w:rPr>
              <w:t>CS Codes</w:t>
            </w:r>
            <w:r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</w:t>
            </w:r>
          </w:p>
          <w:p w14:paraId="52BD330F" w14:textId="6A374CB4" w:rsidR="00CA1E01" w:rsidRDefault="0056325C" w:rsidP="00CA1E01">
            <w:pPr>
              <w:rPr>
                <w:bCs/>
                <w:color w:val="000000" w:themeColor="text1"/>
                <w:sz w:val="22"/>
                <w:szCs w:val="22"/>
              </w:rPr>
            </w:pPr>
            <w:hyperlink r:id="rId9" w:anchor="N541512" w:tgtFrame="_blank" w:history="1">
              <w:r w:rsidR="00CA1E01" w:rsidRPr="00731CDA">
                <w:rPr>
                  <w:bCs/>
                  <w:color w:val="000000" w:themeColor="text1"/>
                  <w:sz w:val="22"/>
                  <w:szCs w:val="22"/>
                </w:rPr>
                <w:t>5</w:t>
              </w:r>
            </w:hyperlink>
            <w:r w:rsidR="00386D81">
              <w:t xml:space="preserve">61320 </w:t>
            </w:r>
            <w:r w:rsidR="00386D81" w:rsidRPr="00731CDA">
              <w:rPr>
                <w:color w:val="000000" w:themeColor="text1"/>
                <w:sz w:val="22"/>
                <w:szCs w:val="22"/>
              </w:rPr>
              <w:t>Professional</w:t>
            </w:r>
            <w:r w:rsidR="00CA1E01" w:rsidRPr="00731CDA">
              <w:rPr>
                <w:bCs/>
                <w:color w:val="000000" w:themeColor="text1"/>
                <w:sz w:val="22"/>
                <w:szCs w:val="22"/>
              </w:rPr>
              <w:t>, Technical and Administrative Services</w:t>
            </w:r>
            <w:r w:rsidR="00CA1E01">
              <w:rPr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CD1B4A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081AB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1B4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A1E01">
              <w:rPr>
                <w:bCs/>
                <w:color w:val="000000" w:themeColor="text1"/>
                <w:sz w:val="22"/>
                <w:szCs w:val="22"/>
              </w:rPr>
              <w:t xml:space="preserve">541612 Human Resource Support </w:t>
            </w:r>
          </w:p>
          <w:p w14:paraId="0D86FDFA" w14:textId="62DF538E" w:rsidR="00081ABB" w:rsidRDefault="0056325C" w:rsidP="00CA1E01">
            <w:pPr>
              <w:rPr>
                <w:bCs/>
                <w:color w:val="000000" w:themeColor="text1"/>
                <w:sz w:val="20"/>
                <w:szCs w:val="20"/>
              </w:rPr>
            </w:pPr>
            <w:hyperlink r:id="rId10" w:anchor="N541511" w:tgtFrame="_blank" w:history="1">
              <w:r w:rsidR="00CA1E01" w:rsidRPr="00731CDA">
                <w:rPr>
                  <w:bCs/>
                  <w:color w:val="000000" w:themeColor="text1"/>
                  <w:sz w:val="22"/>
                  <w:szCs w:val="22"/>
                </w:rPr>
                <w:t>541511</w:t>
              </w:r>
            </w:hyperlink>
            <w:r w:rsidR="00CA1E01" w:rsidRPr="00731CD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1E01" w:rsidRPr="00731CDA">
              <w:rPr>
                <w:bCs/>
                <w:color w:val="000000" w:themeColor="text1"/>
                <w:sz w:val="22"/>
                <w:szCs w:val="22"/>
              </w:rPr>
              <w:t>Custom Computer Programming Services</w:t>
            </w:r>
            <w:r w:rsidR="00CA1E01">
              <w:rPr>
                <w:bCs/>
                <w:color w:val="000000" w:themeColor="text1"/>
                <w:sz w:val="22"/>
                <w:szCs w:val="22"/>
              </w:rPr>
              <w:t xml:space="preserve">                        </w:t>
            </w:r>
            <w:r w:rsidR="00081AB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A1E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E01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81ABB" w:rsidRPr="00081ABB">
              <w:rPr>
                <w:sz w:val="20"/>
                <w:szCs w:val="20"/>
              </w:rPr>
              <w:t xml:space="preserve">541612 Employee Assessment Consulting </w:t>
            </w:r>
            <w:r w:rsidR="00CA1E01" w:rsidRPr="00081ABB">
              <w:rPr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41FD792D" w14:textId="7E81A6EA" w:rsidR="00A402D8" w:rsidRDefault="00081ABB" w:rsidP="00CA1E0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531311 Property Management</w:t>
            </w:r>
            <w:r w:rsidR="00216690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2E01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56</w:t>
            </w:r>
            <w:r w:rsidR="00CA1E01">
              <w:rPr>
                <w:bCs/>
                <w:color w:val="000000" w:themeColor="text1"/>
                <w:sz w:val="22"/>
                <w:szCs w:val="22"/>
              </w:rPr>
              <w:t>110 Program Manag</w:t>
            </w:r>
            <w:r w:rsidR="00A402D8">
              <w:rPr>
                <w:bCs/>
                <w:color w:val="000000" w:themeColor="text1"/>
                <w:sz w:val="22"/>
                <w:szCs w:val="22"/>
              </w:rPr>
              <w:t>ement Support</w:t>
            </w:r>
            <w:r w:rsidR="00386D81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 w:rsidR="006725AC">
              <w:rPr>
                <w:bCs/>
                <w:color w:val="000000" w:themeColor="text1"/>
                <w:sz w:val="22"/>
                <w:szCs w:val="22"/>
              </w:rPr>
              <w:t>561410  Transcription Services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</w:t>
            </w:r>
            <w:r w:rsidR="002E01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518210 Data Entry Services</w:t>
            </w:r>
          </w:p>
          <w:p w14:paraId="564D16F9" w14:textId="115E7E38" w:rsidR="00A67422" w:rsidRDefault="00A67422" w:rsidP="00CA1E0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541189 Legal Services</w:t>
            </w:r>
            <w:r w:rsidR="00373AA0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</w:t>
            </w:r>
            <w:r w:rsidR="002E01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73AA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646F">
              <w:rPr>
                <w:bCs/>
                <w:color w:val="000000" w:themeColor="text1"/>
                <w:sz w:val="22"/>
                <w:szCs w:val="22"/>
              </w:rPr>
              <w:t>611430 Professional Development Training</w:t>
            </w:r>
          </w:p>
          <w:p w14:paraId="5BD1B9EB" w14:textId="2C954ECC" w:rsidR="004C690A" w:rsidRDefault="004C690A" w:rsidP="00CA1E0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54614 Inventory Planning and Control Management Services</w:t>
            </w:r>
            <w:r w:rsidR="009F2DB6">
              <w:rPr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="002E01A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F2DB6">
              <w:rPr>
                <w:bCs/>
                <w:color w:val="000000" w:themeColor="text1"/>
                <w:sz w:val="22"/>
                <w:szCs w:val="22"/>
              </w:rPr>
              <w:t>541330 Electrical Engineering</w:t>
            </w:r>
          </w:p>
          <w:p w14:paraId="53EF0DAF" w14:textId="77777777" w:rsidR="004C690A" w:rsidRDefault="004C690A" w:rsidP="00CA1E0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341E7EF4" w14:textId="77777777" w:rsidR="00CA1E01" w:rsidRDefault="00CA1E01" w:rsidP="00CA1E0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</w:t>
            </w:r>
            <w:r w:rsidRPr="00F72E8F">
              <w:rPr>
                <w:b/>
                <w:sz w:val="22"/>
                <w:szCs w:val="22"/>
                <w:u w:val="single"/>
              </w:rPr>
              <w:t>ients</w:t>
            </w:r>
          </w:p>
          <w:p w14:paraId="10F914AF" w14:textId="7AF0C17C" w:rsidR="00CA1E01" w:rsidRDefault="00CD1B4A" w:rsidP="00CA1E01">
            <w:pPr>
              <w:ind w:right="-258"/>
              <w:rPr>
                <w:sz w:val="22"/>
                <w:szCs w:val="22"/>
              </w:rPr>
            </w:pPr>
            <w:r w:rsidRPr="00CD1B4A">
              <w:rPr>
                <w:sz w:val="22"/>
                <w:szCs w:val="22"/>
              </w:rPr>
              <w:t>Centers for Disease Control, Atlanta, GA</w:t>
            </w:r>
            <w:r w:rsidR="00CA1E01" w:rsidRPr="00CD1B4A">
              <w:rPr>
                <w:sz w:val="22"/>
                <w:szCs w:val="22"/>
              </w:rPr>
              <w:tab/>
            </w:r>
            <w:r w:rsidR="00CA1E01" w:rsidRPr="00CD1B4A">
              <w:rPr>
                <w:sz w:val="22"/>
                <w:szCs w:val="22"/>
              </w:rPr>
              <w:tab/>
              <w:t xml:space="preserve">          U.S. Air Force</w:t>
            </w:r>
            <w:r>
              <w:rPr>
                <w:sz w:val="22"/>
                <w:szCs w:val="22"/>
              </w:rPr>
              <w:t xml:space="preserve"> </w:t>
            </w:r>
            <w:r w:rsidR="00002D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Pentagon</w:t>
            </w:r>
          </w:p>
          <w:p w14:paraId="3E9B4056" w14:textId="08700A38" w:rsidR="00CA1E01" w:rsidRPr="00CD1B4A" w:rsidRDefault="008A70C2" w:rsidP="00CA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Smithsonian Institut</w:t>
            </w:r>
            <w:r w:rsidR="00782E28">
              <w:rPr>
                <w:sz w:val="22"/>
                <w:szCs w:val="22"/>
              </w:rPr>
              <w:t>ion</w:t>
            </w:r>
            <w:r w:rsidR="00606A2C">
              <w:rPr>
                <w:sz w:val="22"/>
                <w:szCs w:val="22"/>
              </w:rPr>
              <w:t>, Washington, DC</w:t>
            </w:r>
            <w:r w:rsidR="00CA1E01" w:rsidRPr="00CD1B4A">
              <w:rPr>
                <w:sz w:val="22"/>
                <w:szCs w:val="22"/>
              </w:rPr>
              <w:tab/>
              <w:t xml:space="preserve">          </w:t>
            </w:r>
            <w:r>
              <w:rPr>
                <w:sz w:val="22"/>
                <w:szCs w:val="22"/>
              </w:rPr>
              <w:t xml:space="preserve">             </w:t>
            </w:r>
            <w:r w:rsidR="00CA1E01" w:rsidRPr="00CD1B4A">
              <w:rPr>
                <w:sz w:val="22"/>
                <w:szCs w:val="22"/>
              </w:rPr>
              <w:t>U.S. Fish and Wildlife Service</w:t>
            </w:r>
          </w:p>
          <w:p w14:paraId="64FFF703" w14:textId="7EBCCB1B" w:rsidR="00CA1E01" w:rsidRPr="00CD1B4A" w:rsidRDefault="00DD2118" w:rsidP="00CA1E01">
            <w:pPr>
              <w:rPr>
                <w:sz w:val="22"/>
                <w:szCs w:val="22"/>
              </w:rPr>
            </w:pPr>
            <w:r w:rsidRPr="00CD1B4A">
              <w:rPr>
                <w:sz w:val="22"/>
                <w:szCs w:val="22"/>
              </w:rPr>
              <w:t xml:space="preserve">U.S. </w:t>
            </w:r>
            <w:r w:rsidR="00CA1E01" w:rsidRPr="00CD1B4A">
              <w:rPr>
                <w:sz w:val="22"/>
                <w:szCs w:val="22"/>
              </w:rPr>
              <w:t>Food and Drug Administration</w:t>
            </w:r>
            <w:r w:rsidR="00CA1E01" w:rsidRPr="00CD1B4A">
              <w:rPr>
                <w:sz w:val="22"/>
                <w:szCs w:val="22"/>
              </w:rPr>
              <w:tab/>
            </w:r>
            <w:r w:rsidR="00CA1E01" w:rsidRPr="00CD1B4A">
              <w:rPr>
                <w:sz w:val="22"/>
                <w:szCs w:val="22"/>
              </w:rPr>
              <w:tab/>
            </w:r>
            <w:r w:rsidR="00CA1E01" w:rsidRPr="00CD1B4A">
              <w:rPr>
                <w:sz w:val="22"/>
                <w:szCs w:val="22"/>
              </w:rPr>
              <w:tab/>
              <w:t xml:space="preserve">          </w:t>
            </w:r>
            <w:r w:rsidR="00CD1B4A" w:rsidRPr="003009EA">
              <w:rPr>
                <w:sz w:val="20"/>
                <w:szCs w:val="20"/>
              </w:rPr>
              <w:t>Dep</w:t>
            </w:r>
            <w:r w:rsidR="003009EA" w:rsidRPr="003009EA">
              <w:rPr>
                <w:sz w:val="20"/>
                <w:szCs w:val="20"/>
              </w:rPr>
              <w:t xml:space="preserve">t. </w:t>
            </w:r>
            <w:r w:rsidR="00CD1B4A" w:rsidRPr="003009EA">
              <w:rPr>
                <w:sz w:val="20"/>
                <w:szCs w:val="20"/>
              </w:rPr>
              <w:t>of Homeland Security</w:t>
            </w:r>
            <w:r w:rsidR="003009EA" w:rsidRPr="003009EA">
              <w:rPr>
                <w:sz w:val="20"/>
                <w:szCs w:val="20"/>
              </w:rPr>
              <w:t>(USCIS), Laguna Niguel,</w:t>
            </w:r>
            <w:r w:rsidR="003009EA">
              <w:rPr>
                <w:sz w:val="22"/>
                <w:szCs w:val="22"/>
              </w:rPr>
              <w:t xml:space="preserve"> CA</w:t>
            </w:r>
          </w:p>
          <w:p w14:paraId="4AB40AC7" w14:textId="2BCD4055" w:rsidR="00CA1E01" w:rsidRPr="00CD1B4A" w:rsidRDefault="00CA1E01" w:rsidP="00CA1E01">
            <w:pPr>
              <w:rPr>
                <w:sz w:val="22"/>
                <w:szCs w:val="22"/>
              </w:rPr>
            </w:pPr>
            <w:r w:rsidRPr="00CD1B4A">
              <w:rPr>
                <w:sz w:val="22"/>
                <w:szCs w:val="22"/>
              </w:rPr>
              <w:t>U.S. House of Representatives</w:t>
            </w:r>
            <w:r w:rsidRPr="00CD1B4A">
              <w:rPr>
                <w:sz w:val="22"/>
                <w:szCs w:val="22"/>
              </w:rPr>
              <w:tab/>
            </w:r>
            <w:r w:rsidRPr="00CD1B4A">
              <w:rPr>
                <w:sz w:val="22"/>
                <w:szCs w:val="22"/>
              </w:rPr>
              <w:tab/>
            </w:r>
            <w:r w:rsidRPr="00CD1B4A">
              <w:rPr>
                <w:sz w:val="22"/>
                <w:szCs w:val="22"/>
              </w:rPr>
              <w:tab/>
            </w:r>
            <w:r w:rsidRPr="00CD1B4A">
              <w:rPr>
                <w:sz w:val="22"/>
                <w:szCs w:val="22"/>
              </w:rPr>
              <w:tab/>
              <w:t xml:space="preserve">          </w:t>
            </w:r>
            <w:r w:rsidR="00E221D2" w:rsidRPr="00CD1B4A">
              <w:rPr>
                <w:sz w:val="22"/>
                <w:szCs w:val="22"/>
              </w:rPr>
              <w:t xml:space="preserve">US. </w:t>
            </w:r>
            <w:r w:rsidRPr="00CD1B4A">
              <w:rPr>
                <w:sz w:val="22"/>
                <w:szCs w:val="22"/>
              </w:rPr>
              <w:t>Dep</w:t>
            </w:r>
            <w:r w:rsidR="00E221D2" w:rsidRPr="00CD1B4A">
              <w:rPr>
                <w:sz w:val="22"/>
                <w:szCs w:val="22"/>
              </w:rPr>
              <w:t>artment</w:t>
            </w:r>
            <w:r w:rsidRPr="00CD1B4A">
              <w:rPr>
                <w:sz w:val="22"/>
                <w:szCs w:val="22"/>
              </w:rPr>
              <w:t xml:space="preserve"> of Agriculture</w:t>
            </w:r>
            <w:r w:rsidR="00BB23DA">
              <w:rPr>
                <w:sz w:val="22"/>
                <w:szCs w:val="22"/>
              </w:rPr>
              <w:t xml:space="preserve"> - ARS</w:t>
            </w:r>
          </w:p>
          <w:p w14:paraId="780E4237" w14:textId="77777777" w:rsidR="00CD1B4A" w:rsidRPr="00CD1B4A" w:rsidRDefault="001B1CB8" w:rsidP="00CA1E01">
            <w:pPr>
              <w:tabs>
                <w:tab w:val="left" w:pos="4665"/>
                <w:tab w:val="left" w:pos="4905"/>
                <w:tab w:val="left" w:pos="5310"/>
              </w:tabs>
              <w:ind w:right="-888"/>
              <w:rPr>
                <w:sz w:val="22"/>
                <w:szCs w:val="22"/>
              </w:rPr>
            </w:pPr>
            <w:r w:rsidRPr="00CD1B4A">
              <w:rPr>
                <w:sz w:val="22"/>
                <w:szCs w:val="22"/>
              </w:rPr>
              <w:t>U.S. Department of Health and Human Services, CMS</w:t>
            </w:r>
            <w:r w:rsidR="00CA1E01" w:rsidRPr="00CD1B4A">
              <w:rPr>
                <w:sz w:val="22"/>
                <w:szCs w:val="22"/>
              </w:rPr>
              <w:t xml:space="preserve">              U.S. </w:t>
            </w:r>
            <w:r w:rsidR="00386D81" w:rsidRPr="00CD1B4A">
              <w:rPr>
                <w:sz w:val="22"/>
                <w:szCs w:val="22"/>
              </w:rPr>
              <w:t>Department of Transportation (MARAD)</w:t>
            </w:r>
            <w:r w:rsidR="00CA1E01" w:rsidRPr="00CD1B4A">
              <w:rPr>
                <w:sz w:val="22"/>
                <w:szCs w:val="22"/>
              </w:rPr>
              <w:t xml:space="preserve"> </w:t>
            </w:r>
          </w:p>
          <w:p w14:paraId="3B5C87D2" w14:textId="55078A03" w:rsidR="008A70C2" w:rsidRDefault="008A70C2" w:rsidP="00CA1E01">
            <w:pPr>
              <w:tabs>
                <w:tab w:val="left" w:pos="4665"/>
                <w:tab w:val="left" w:pos="4905"/>
                <w:tab w:val="left" w:pos="5310"/>
              </w:tabs>
              <w:ind w:right="-8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Department of Education                                                     U.S. Department of Interior</w:t>
            </w:r>
          </w:p>
          <w:p w14:paraId="1D466E8F" w14:textId="07F395CF" w:rsidR="006725AC" w:rsidRPr="00CD1B4A" w:rsidRDefault="006725AC" w:rsidP="00CA1E01">
            <w:pPr>
              <w:tabs>
                <w:tab w:val="left" w:pos="4665"/>
                <w:tab w:val="left" w:pos="4905"/>
                <w:tab w:val="left" w:pos="5310"/>
              </w:tabs>
              <w:ind w:right="-8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Protection Agency (EPA)</w:t>
            </w:r>
          </w:p>
          <w:p w14:paraId="20613B08" w14:textId="77777777" w:rsidR="00CA1E01" w:rsidRPr="001B1CB8" w:rsidRDefault="00CA1E01" w:rsidP="00CA1E01">
            <w:pPr>
              <w:rPr>
                <w:b/>
                <w:sz w:val="22"/>
                <w:szCs w:val="22"/>
              </w:rPr>
            </w:pPr>
          </w:p>
          <w:p w14:paraId="4D2261E5" w14:textId="77777777" w:rsidR="00CA1E01" w:rsidRDefault="00CA1E01" w:rsidP="00CA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</w:p>
          <w:p w14:paraId="3B126CAD" w14:textId="77777777" w:rsidR="00CA1E01" w:rsidRPr="00951EE0" w:rsidRDefault="00CA1E01" w:rsidP="00CA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A1E01" w:rsidRPr="002578A6" w14:paraId="49E2F054" w14:textId="77777777" w:rsidTr="00CA1E01">
        <w:trPr>
          <w:trHeight w:val="1782"/>
        </w:trPr>
        <w:tc>
          <w:tcPr>
            <w:tcW w:w="10710" w:type="dxa"/>
          </w:tcPr>
          <w:p w14:paraId="491BC860" w14:textId="77777777" w:rsidR="00CA1E01" w:rsidRDefault="00CA1E01" w:rsidP="00CA1E01">
            <w:pPr>
              <w:rPr>
                <w:sz w:val="22"/>
                <w:szCs w:val="22"/>
              </w:rPr>
            </w:pPr>
          </w:p>
        </w:tc>
      </w:tr>
      <w:tr w:rsidR="008A70C2" w:rsidRPr="002578A6" w14:paraId="67BE7BC3" w14:textId="77777777" w:rsidTr="00CA1E01">
        <w:trPr>
          <w:trHeight w:val="1782"/>
        </w:trPr>
        <w:tc>
          <w:tcPr>
            <w:tcW w:w="10710" w:type="dxa"/>
          </w:tcPr>
          <w:p w14:paraId="1038A27E" w14:textId="77777777" w:rsidR="008A70C2" w:rsidRDefault="008A70C2" w:rsidP="00CA1E01">
            <w:pPr>
              <w:rPr>
                <w:sz w:val="22"/>
                <w:szCs w:val="22"/>
              </w:rPr>
            </w:pPr>
          </w:p>
        </w:tc>
      </w:tr>
    </w:tbl>
    <w:p w14:paraId="5800589C" w14:textId="77777777" w:rsidR="00A43888" w:rsidRDefault="00A43888" w:rsidP="00A43888">
      <w:pPr>
        <w:rPr>
          <w:sz w:val="22"/>
          <w:szCs w:val="22"/>
        </w:rPr>
      </w:pPr>
      <w:r w:rsidRPr="00F72E8F">
        <w:rPr>
          <w:sz w:val="22"/>
          <w:szCs w:val="22"/>
        </w:rPr>
        <w:tab/>
      </w:r>
    </w:p>
    <w:sectPr w:rsidR="00A43888" w:rsidSect="007D144B">
      <w:pgSz w:w="12240" w:h="15840"/>
      <w:pgMar w:top="720" w:right="144" w:bottom="990" w:left="720" w:header="720" w:footer="720" w:gutter="0"/>
      <w:pgBorders w:offsetFrom="page">
        <w:top w:val="thinThickSmallGap" w:sz="24" w:space="24" w:color="548DD4" w:themeColor="text2" w:themeTint="99" w:shadow="1"/>
        <w:left w:val="thinThickSmallGap" w:sz="24" w:space="24" w:color="548DD4" w:themeColor="text2" w:themeTint="99" w:shadow="1"/>
        <w:bottom w:val="thinThickSmallGap" w:sz="24" w:space="24" w:color="548DD4" w:themeColor="text2" w:themeTint="99" w:shadow="1"/>
        <w:right w:val="thinThickSmallGap" w:sz="24" w:space="24" w:color="548DD4" w:themeColor="text2" w:themeTint="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7D8B" w14:textId="77777777" w:rsidR="0056325C" w:rsidRDefault="0056325C" w:rsidP="00101F39">
      <w:r>
        <w:separator/>
      </w:r>
    </w:p>
  </w:endnote>
  <w:endnote w:type="continuationSeparator" w:id="0">
    <w:p w14:paraId="1ACDD7D3" w14:textId="77777777" w:rsidR="0056325C" w:rsidRDefault="0056325C" w:rsidP="0010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DA8D" w14:textId="77777777" w:rsidR="0056325C" w:rsidRDefault="0056325C" w:rsidP="00101F39">
      <w:r>
        <w:separator/>
      </w:r>
    </w:p>
  </w:footnote>
  <w:footnote w:type="continuationSeparator" w:id="0">
    <w:p w14:paraId="2796CE9E" w14:textId="77777777" w:rsidR="0056325C" w:rsidRDefault="0056325C" w:rsidP="0010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C4"/>
    <w:rsid w:val="00002D1B"/>
    <w:rsid w:val="00002D27"/>
    <w:rsid w:val="00004D6F"/>
    <w:rsid w:val="00006DEB"/>
    <w:rsid w:val="00006F66"/>
    <w:rsid w:val="000139DA"/>
    <w:rsid w:val="00014723"/>
    <w:rsid w:val="00015722"/>
    <w:rsid w:val="0002127F"/>
    <w:rsid w:val="00022D31"/>
    <w:rsid w:val="00025385"/>
    <w:rsid w:val="000301B1"/>
    <w:rsid w:val="00032989"/>
    <w:rsid w:val="00033940"/>
    <w:rsid w:val="00036051"/>
    <w:rsid w:val="000513EA"/>
    <w:rsid w:val="0005489E"/>
    <w:rsid w:val="00054C60"/>
    <w:rsid w:val="00063C1F"/>
    <w:rsid w:val="00064B94"/>
    <w:rsid w:val="00064CE9"/>
    <w:rsid w:val="0007238A"/>
    <w:rsid w:val="00076FAA"/>
    <w:rsid w:val="0008058C"/>
    <w:rsid w:val="00081ABB"/>
    <w:rsid w:val="000821BB"/>
    <w:rsid w:val="000857BD"/>
    <w:rsid w:val="00087DCF"/>
    <w:rsid w:val="000A2D30"/>
    <w:rsid w:val="000A5A90"/>
    <w:rsid w:val="000A5B5C"/>
    <w:rsid w:val="000B6E0B"/>
    <w:rsid w:val="000C2F80"/>
    <w:rsid w:val="000C5138"/>
    <w:rsid w:val="000C5699"/>
    <w:rsid w:val="000D25FF"/>
    <w:rsid w:val="000E2E82"/>
    <w:rsid w:val="00101F39"/>
    <w:rsid w:val="001078B5"/>
    <w:rsid w:val="001250C7"/>
    <w:rsid w:val="00125ACB"/>
    <w:rsid w:val="00126611"/>
    <w:rsid w:val="00126B6E"/>
    <w:rsid w:val="001301D9"/>
    <w:rsid w:val="0013477F"/>
    <w:rsid w:val="00144466"/>
    <w:rsid w:val="00144A82"/>
    <w:rsid w:val="001537AD"/>
    <w:rsid w:val="00156422"/>
    <w:rsid w:val="00160FDA"/>
    <w:rsid w:val="00162859"/>
    <w:rsid w:val="00170EFE"/>
    <w:rsid w:val="00173D14"/>
    <w:rsid w:val="00184C6B"/>
    <w:rsid w:val="00185AF4"/>
    <w:rsid w:val="0018603F"/>
    <w:rsid w:val="001871F4"/>
    <w:rsid w:val="0019043B"/>
    <w:rsid w:val="0019319A"/>
    <w:rsid w:val="0019397E"/>
    <w:rsid w:val="00196330"/>
    <w:rsid w:val="001A0B9C"/>
    <w:rsid w:val="001A1002"/>
    <w:rsid w:val="001A121B"/>
    <w:rsid w:val="001A3E7C"/>
    <w:rsid w:val="001A4C75"/>
    <w:rsid w:val="001A664B"/>
    <w:rsid w:val="001B1CB8"/>
    <w:rsid w:val="001B698D"/>
    <w:rsid w:val="001C20E4"/>
    <w:rsid w:val="001C304B"/>
    <w:rsid w:val="001C4C3A"/>
    <w:rsid w:val="001C4F54"/>
    <w:rsid w:val="001C5CF6"/>
    <w:rsid w:val="001D0692"/>
    <w:rsid w:val="001D5253"/>
    <w:rsid w:val="001E32A5"/>
    <w:rsid w:val="001E48A5"/>
    <w:rsid w:val="001F3FE9"/>
    <w:rsid w:val="00203D05"/>
    <w:rsid w:val="0021145E"/>
    <w:rsid w:val="0021168C"/>
    <w:rsid w:val="00214D48"/>
    <w:rsid w:val="00216690"/>
    <w:rsid w:val="00217D2A"/>
    <w:rsid w:val="0022190A"/>
    <w:rsid w:val="00225FCE"/>
    <w:rsid w:val="00233039"/>
    <w:rsid w:val="00235AEC"/>
    <w:rsid w:val="00244CD5"/>
    <w:rsid w:val="00250F11"/>
    <w:rsid w:val="0025321A"/>
    <w:rsid w:val="00254BFE"/>
    <w:rsid w:val="00255259"/>
    <w:rsid w:val="0026099A"/>
    <w:rsid w:val="00261E89"/>
    <w:rsid w:val="00263210"/>
    <w:rsid w:val="002653C3"/>
    <w:rsid w:val="002662BB"/>
    <w:rsid w:val="00266D2B"/>
    <w:rsid w:val="00276025"/>
    <w:rsid w:val="00290FE4"/>
    <w:rsid w:val="00293032"/>
    <w:rsid w:val="00294923"/>
    <w:rsid w:val="002A0F75"/>
    <w:rsid w:val="002A465F"/>
    <w:rsid w:val="002A70EB"/>
    <w:rsid w:val="002B5FDF"/>
    <w:rsid w:val="002B65B9"/>
    <w:rsid w:val="002C34B8"/>
    <w:rsid w:val="002C6E00"/>
    <w:rsid w:val="002C7E19"/>
    <w:rsid w:val="002D0C62"/>
    <w:rsid w:val="002D345B"/>
    <w:rsid w:val="002D52A4"/>
    <w:rsid w:val="002D561D"/>
    <w:rsid w:val="002D7A3C"/>
    <w:rsid w:val="002E01AA"/>
    <w:rsid w:val="002E6127"/>
    <w:rsid w:val="002E6497"/>
    <w:rsid w:val="002E6C61"/>
    <w:rsid w:val="002E740C"/>
    <w:rsid w:val="002F5346"/>
    <w:rsid w:val="003009EA"/>
    <w:rsid w:val="00302009"/>
    <w:rsid w:val="00305853"/>
    <w:rsid w:val="00311116"/>
    <w:rsid w:val="003143DB"/>
    <w:rsid w:val="003160D0"/>
    <w:rsid w:val="0032419B"/>
    <w:rsid w:val="00347375"/>
    <w:rsid w:val="00347840"/>
    <w:rsid w:val="0035154C"/>
    <w:rsid w:val="003537A9"/>
    <w:rsid w:val="00361018"/>
    <w:rsid w:val="00370555"/>
    <w:rsid w:val="0037250C"/>
    <w:rsid w:val="00372DAA"/>
    <w:rsid w:val="00373AA0"/>
    <w:rsid w:val="00373F2D"/>
    <w:rsid w:val="003820B5"/>
    <w:rsid w:val="00383DA1"/>
    <w:rsid w:val="00386D81"/>
    <w:rsid w:val="00387714"/>
    <w:rsid w:val="003A2987"/>
    <w:rsid w:val="003A6468"/>
    <w:rsid w:val="003B09E4"/>
    <w:rsid w:val="003C021C"/>
    <w:rsid w:val="003C2875"/>
    <w:rsid w:val="003D1827"/>
    <w:rsid w:val="003D2BF3"/>
    <w:rsid w:val="003D323C"/>
    <w:rsid w:val="003E00D6"/>
    <w:rsid w:val="003E3694"/>
    <w:rsid w:val="003E58C4"/>
    <w:rsid w:val="003E5E4A"/>
    <w:rsid w:val="003F11B4"/>
    <w:rsid w:val="003F1AE2"/>
    <w:rsid w:val="004070C6"/>
    <w:rsid w:val="00410DB2"/>
    <w:rsid w:val="00421E7B"/>
    <w:rsid w:val="00421E8D"/>
    <w:rsid w:val="00422A5F"/>
    <w:rsid w:val="00423022"/>
    <w:rsid w:val="00434E0E"/>
    <w:rsid w:val="004359D1"/>
    <w:rsid w:val="00442215"/>
    <w:rsid w:val="0044393B"/>
    <w:rsid w:val="00444723"/>
    <w:rsid w:val="004467B9"/>
    <w:rsid w:val="004471AA"/>
    <w:rsid w:val="00447386"/>
    <w:rsid w:val="00455F86"/>
    <w:rsid w:val="00456236"/>
    <w:rsid w:val="004760AC"/>
    <w:rsid w:val="00477AC2"/>
    <w:rsid w:val="00484A7E"/>
    <w:rsid w:val="0049567B"/>
    <w:rsid w:val="00495CBE"/>
    <w:rsid w:val="004A6124"/>
    <w:rsid w:val="004B0EE2"/>
    <w:rsid w:val="004B2FB7"/>
    <w:rsid w:val="004B494F"/>
    <w:rsid w:val="004B771A"/>
    <w:rsid w:val="004C0D0D"/>
    <w:rsid w:val="004C690A"/>
    <w:rsid w:val="004C696C"/>
    <w:rsid w:val="004D0FCE"/>
    <w:rsid w:val="004D25E8"/>
    <w:rsid w:val="004F3F04"/>
    <w:rsid w:val="00501DF4"/>
    <w:rsid w:val="005066C5"/>
    <w:rsid w:val="005101C5"/>
    <w:rsid w:val="00513B72"/>
    <w:rsid w:val="005152AE"/>
    <w:rsid w:val="00522CF3"/>
    <w:rsid w:val="0052323D"/>
    <w:rsid w:val="005312FA"/>
    <w:rsid w:val="00532E86"/>
    <w:rsid w:val="00541AED"/>
    <w:rsid w:val="00542AED"/>
    <w:rsid w:val="00553AF8"/>
    <w:rsid w:val="005567BA"/>
    <w:rsid w:val="0056325C"/>
    <w:rsid w:val="005634E0"/>
    <w:rsid w:val="0056466C"/>
    <w:rsid w:val="00572508"/>
    <w:rsid w:val="00575602"/>
    <w:rsid w:val="00596654"/>
    <w:rsid w:val="00596E7E"/>
    <w:rsid w:val="00597B13"/>
    <w:rsid w:val="005A2866"/>
    <w:rsid w:val="005A2F4B"/>
    <w:rsid w:val="005A47A7"/>
    <w:rsid w:val="005B1531"/>
    <w:rsid w:val="005B603B"/>
    <w:rsid w:val="005C427A"/>
    <w:rsid w:val="005C595C"/>
    <w:rsid w:val="005C70C9"/>
    <w:rsid w:val="005C7CAA"/>
    <w:rsid w:val="005D49CF"/>
    <w:rsid w:val="005E56D0"/>
    <w:rsid w:val="0060019A"/>
    <w:rsid w:val="006034BB"/>
    <w:rsid w:val="00606A2C"/>
    <w:rsid w:val="006072B5"/>
    <w:rsid w:val="0061001A"/>
    <w:rsid w:val="00612CBA"/>
    <w:rsid w:val="00613319"/>
    <w:rsid w:val="00620957"/>
    <w:rsid w:val="00622E1B"/>
    <w:rsid w:val="00632FA1"/>
    <w:rsid w:val="00634A20"/>
    <w:rsid w:val="00634D08"/>
    <w:rsid w:val="00637684"/>
    <w:rsid w:val="00644B04"/>
    <w:rsid w:val="0064588C"/>
    <w:rsid w:val="00645C3D"/>
    <w:rsid w:val="00650C5C"/>
    <w:rsid w:val="006562F7"/>
    <w:rsid w:val="00661BAC"/>
    <w:rsid w:val="00662B91"/>
    <w:rsid w:val="00663FE2"/>
    <w:rsid w:val="006725AC"/>
    <w:rsid w:val="006732D6"/>
    <w:rsid w:val="00683AB1"/>
    <w:rsid w:val="0068528B"/>
    <w:rsid w:val="006857A4"/>
    <w:rsid w:val="0068618E"/>
    <w:rsid w:val="006930E9"/>
    <w:rsid w:val="006934F1"/>
    <w:rsid w:val="0069548E"/>
    <w:rsid w:val="00695B62"/>
    <w:rsid w:val="006A3621"/>
    <w:rsid w:val="006A4A0A"/>
    <w:rsid w:val="006B6D9B"/>
    <w:rsid w:val="006C0984"/>
    <w:rsid w:val="006C1003"/>
    <w:rsid w:val="006C67EE"/>
    <w:rsid w:val="006D3F97"/>
    <w:rsid w:val="006D49C5"/>
    <w:rsid w:val="006D4B6E"/>
    <w:rsid w:val="006D5CF0"/>
    <w:rsid w:val="006E3CEA"/>
    <w:rsid w:val="006E7689"/>
    <w:rsid w:val="006F17DF"/>
    <w:rsid w:val="006F575F"/>
    <w:rsid w:val="006F6A61"/>
    <w:rsid w:val="0070106E"/>
    <w:rsid w:val="00705104"/>
    <w:rsid w:val="00706ED3"/>
    <w:rsid w:val="00710FBB"/>
    <w:rsid w:val="00714C2B"/>
    <w:rsid w:val="00717282"/>
    <w:rsid w:val="007201AD"/>
    <w:rsid w:val="0072478D"/>
    <w:rsid w:val="00730C7F"/>
    <w:rsid w:val="00730E39"/>
    <w:rsid w:val="00731369"/>
    <w:rsid w:val="007319DB"/>
    <w:rsid w:val="00731CDA"/>
    <w:rsid w:val="00733CE3"/>
    <w:rsid w:val="0073419D"/>
    <w:rsid w:val="007348A1"/>
    <w:rsid w:val="00743EF6"/>
    <w:rsid w:val="00744D3F"/>
    <w:rsid w:val="00745633"/>
    <w:rsid w:val="0075200E"/>
    <w:rsid w:val="007524B6"/>
    <w:rsid w:val="007547E6"/>
    <w:rsid w:val="00766E1A"/>
    <w:rsid w:val="00771202"/>
    <w:rsid w:val="00771579"/>
    <w:rsid w:val="00774402"/>
    <w:rsid w:val="0077646F"/>
    <w:rsid w:val="00776C80"/>
    <w:rsid w:val="00782E28"/>
    <w:rsid w:val="0078796B"/>
    <w:rsid w:val="00787FD2"/>
    <w:rsid w:val="00791E70"/>
    <w:rsid w:val="007A3463"/>
    <w:rsid w:val="007A394F"/>
    <w:rsid w:val="007A4179"/>
    <w:rsid w:val="007A6163"/>
    <w:rsid w:val="007B1056"/>
    <w:rsid w:val="007B16FF"/>
    <w:rsid w:val="007B18A6"/>
    <w:rsid w:val="007B4C1F"/>
    <w:rsid w:val="007B5BEF"/>
    <w:rsid w:val="007C68C5"/>
    <w:rsid w:val="007D144B"/>
    <w:rsid w:val="007D21AF"/>
    <w:rsid w:val="007D32C1"/>
    <w:rsid w:val="007D6683"/>
    <w:rsid w:val="007D705E"/>
    <w:rsid w:val="007E0289"/>
    <w:rsid w:val="007E11FC"/>
    <w:rsid w:val="007E410A"/>
    <w:rsid w:val="007E773E"/>
    <w:rsid w:val="00805FDB"/>
    <w:rsid w:val="008062D5"/>
    <w:rsid w:val="008063D6"/>
    <w:rsid w:val="00812376"/>
    <w:rsid w:val="00817458"/>
    <w:rsid w:val="0082623B"/>
    <w:rsid w:val="00831589"/>
    <w:rsid w:val="00831CBB"/>
    <w:rsid w:val="008464C1"/>
    <w:rsid w:val="00861151"/>
    <w:rsid w:val="008760B4"/>
    <w:rsid w:val="0088253C"/>
    <w:rsid w:val="008865E0"/>
    <w:rsid w:val="00887398"/>
    <w:rsid w:val="00894BFB"/>
    <w:rsid w:val="008A338A"/>
    <w:rsid w:val="008A3925"/>
    <w:rsid w:val="008A4853"/>
    <w:rsid w:val="008A70C2"/>
    <w:rsid w:val="008B26F7"/>
    <w:rsid w:val="008C129E"/>
    <w:rsid w:val="008C25C4"/>
    <w:rsid w:val="008C7EEE"/>
    <w:rsid w:val="008D1BC6"/>
    <w:rsid w:val="008D20BD"/>
    <w:rsid w:val="008D25A0"/>
    <w:rsid w:val="008D3718"/>
    <w:rsid w:val="008D377F"/>
    <w:rsid w:val="008D47E2"/>
    <w:rsid w:val="008D6770"/>
    <w:rsid w:val="008E2825"/>
    <w:rsid w:val="008E3044"/>
    <w:rsid w:val="008F2D5A"/>
    <w:rsid w:val="00916124"/>
    <w:rsid w:val="00916BC7"/>
    <w:rsid w:val="00923FC1"/>
    <w:rsid w:val="00926483"/>
    <w:rsid w:val="0094182F"/>
    <w:rsid w:val="00941C61"/>
    <w:rsid w:val="00944FD8"/>
    <w:rsid w:val="00951EE0"/>
    <w:rsid w:val="00953066"/>
    <w:rsid w:val="00954B34"/>
    <w:rsid w:val="009558C2"/>
    <w:rsid w:val="009562F9"/>
    <w:rsid w:val="00957279"/>
    <w:rsid w:val="00962FE0"/>
    <w:rsid w:val="0096354B"/>
    <w:rsid w:val="00967898"/>
    <w:rsid w:val="00970FC9"/>
    <w:rsid w:val="00971FF4"/>
    <w:rsid w:val="0097668A"/>
    <w:rsid w:val="009831F2"/>
    <w:rsid w:val="00990972"/>
    <w:rsid w:val="00996F0C"/>
    <w:rsid w:val="00997AA8"/>
    <w:rsid w:val="009A05CB"/>
    <w:rsid w:val="009A4406"/>
    <w:rsid w:val="009A5167"/>
    <w:rsid w:val="009B0A3D"/>
    <w:rsid w:val="009B2E9D"/>
    <w:rsid w:val="009B5204"/>
    <w:rsid w:val="009B79EB"/>
    <w:rsid w:val="009C0D6A"/>
    <w:rsid w:val="009C5FC6"/>
    <w:rsid w:val="009D11A6"/>
    <w:rsid w:val="009D5C7E"/>
    <w:rsid w:val="009E4904"/>
    <w:rsid w:val="009E6E6B"/>
    <w:rsid w:val="009F2DB6"/>
    <w:rsid w:val="009F2E6A"/>
    <w:rsid w:val="009F3FF2"/>
    <w:rsid w:val="009F6783"/>
    <w:rsid w:val="009F6CBC"/>
    <w:rsid w:val="00A001DF"/>
    <w:rsid w:val="00A00B06"/>
    <w:rsid w:val="00A02C71"/>
    <w:rsid w:val="00A042A6"/>
    <w:rsid w:val="00A14275"/>
    <w:rsid w:val="00A14394"/>
    <w:rsid w:val="00A17EE1"/>
    <w:rsid w:val="00A21207"/>
    <w:rsid w:val="00A2141D"/>
    <w:rsid w:val="00A23D68"/>
    <w:rsid w:val="00A23D9E"/>
    <w:rsid w:val="00A26BFB"/>
    <w:rsid w:val="00A277E0"/>
    <w:rsid w:val="00A402D8"/>
    <w:rsid w:val="00A409E2"/>
    <w:rsid w:val="00A40DE8"/>
    <w:rsid w:val="00A43888"/>
    <w:rsid w:val="00A44AB2"/>
    <w:rsid w:val="00A45A55"/>
    <w:rsid w:val="00A467C5"/>
    <w:rsid w:val="00A50491"/>
    <w:rsid w:val="00A51816"/>
    <w:rsid w:val="00A5585D"/>
    <w:rsid w:val="00A61F38"/>
    <w:rsid w:val="00A62781"/>
    <w:rsid w:val="00A67422"/>
    <w:rsid w:val="00A74347"/>
    <w:rsid w:val="00A743EB"/>
    <w:rsid w:val="00A744E1"/>
    <w:rsid w:val="00A77464"/>
    <w:rsid w:val="00A77BD4"/>
    <w:rsid w:val="00A80F46"/>
    <w:rsid w:val="00A97DB0"/>
    <w:rsid w:val="00AA028B"/>
    <w:rsid w:val="00AA11C0"/>
    <w:rsid w:val="00AA1EA0"/>
    <w:rsid w:val="00AB22EE"/>
    <w:rsid w:val="00AB48A6"/>
    <w:rsid w:val="00AB5023"/>
    <w:rsid w:val="00AB7291"/>
    <w:rsid w:val="00AC0948"/>
    <w:rsid w:val="00AC19A9"/>
    <w:rsid w:val="00AC3455"/>
    <w:rsid w:val="00AC67A8"/>
    <w:rsid w:val="00AD1CC2"/>
    <w:rsid w:val="00AD22B4"/>
    <w:rsid w:val="00AD3250"/>
    <w:rsid w:val="00AD4E78"/>
    <w:rsid w:val="00AD5E7F"/>
    <w:rsid w:val="00AE2FBE"/>
    <w:rsid w:val="00AE4782"/>
    <w:rsid w:val="00AE4918"/>
    <w:rsid w:val="00AE6462"/>
    <w:rsid w:val="00AE7106"/>
    <w:rsid w:val="00AF133F"/>
    <w:rsid w:val="00AF2676"/>
    <w:rsid w:val="00AF59AB"/>
    <w:rsid w:val="00B00DC5"/>
    <w:rsid w:val="00B05C0D"/>
    <w:rsid w:val="00B12F7F"/>
    <w:rsid w:val="00B137B6"/>
    <w:rsid w:val="00B1475D"/>
    <w:rsid w:val="00B14AFE"/>
    <w:rsid w:val="00B16CC5"/>
    <w:rsid w:val="00B26434"/>
    <w:rsid w:val="00B26D16"/>
    <w:rsid w:val="00B36C47"/>
    <w:rsid w:val="00B43C0F"/>
    <w:rsid w:val="00B45ABA"/>
    <w:rsid w:val="00B47116"/>
    <w:rsid w:val="00B51CB9"/>
    <w:rsid w:val="00B543DF"/>
    <w:rsid w:val="00B55129"/>
    <w:rsid w:val="00B60956"/>
    <w:rsid w:val="00B673AB"/>
    <w:rsid w:val="00B87BF7"/>
    <w:rsid w:val="00B93315"/>
    <w:rsid w:val="00B97B7D"/>
    <w:rsid w:val="00BA0F73"/>
    <w:rsid w:val="00BA128E"/>
    <w:rsid w:val="00BA3B02"/>
    <w:rsid w:val="00BA7E01"/>
    <w:rsid w:val="00BB1758"/>
    <w:rsid w:val="00BB1BC8"/>
    <w:rsid w:val="00BB23DA"/>
    <w:rsid w:val="00BB2B99"/>
    <w:rsid w:val="00BB30FF"/>
    <w:rsid w:val="00BB3C63"/>
    <w:rsid w:val="00BC1EA3"/>
    <w:rsid w:val="00BC7578"/>
    <w:rsid w:val="00BC7622"/>
    <w:rsid w:val="00BC7E6A"/>
    <w:rsid w:val="00BC7FD8"/>
    <w:rsid w:val="00BD2772"/>
    <w:rsid w:val="00BD2A60"/>
    <w:rsid w:val="00BD50D4"/>
    <w:rsid w:val="00BE0135"/>
    <w:rsid w:val="00BE3BCD"/>
    <w:rsid w:val="00BE4695"/>
    <w:rsid w:val="00BE53F8"/>
    <w:rsid w:val="00BE7B3F"/>
    <w:rsid w:val="00BF07FB"/>
    <w:rsid w:val="00BF201B"/>
    <w:rsid w:val="00BF23EF"/>
    <w:rsid w:val="00BF42BF"/>
    <w:rsid w:val="00BF58DD"/>
    <w:rsid w:val="00C04B7B"/>
    <w:rsid w:val="00C04EF5"/>
    <w:rsid w:val="00C138A6"/>
    <w:rsid w:val="00C13BE2"/>
    <w:rsid w:val="00C13C13"/>
    <w:rsid w:val="00C16A8F"/>
    <w:rsid w:val="00C17C4E"/>
    <w:rsid w:val="00C23E39"/>
    <w:rsid w:val="00C2792B"/>
    <w:rsid w:val="00C31963"/>
    <w:rsid w:val="00C42A54"/>
    <w:rsid w:val="00C44F60"/>
    <w:rsid w:val="00C45163"/>
    <w:rsid w:val="00C50E2B"/>
    <w:rsid w:val="00C51B8F"/>
    <w:rsid w:val="00C52CF1"/>
    <w:rsid w:val="00C53759"/>
    <w:rsid w:val="00C539CF"/>
    <w:rsid w:val="00C616E1"/>
    <w:rsid w:val="00C65499"/>
    <w:rsid w:val="00C73916"/>
    <w:rsid w:val="00C77E93"/>
    <w:rsid w:val="00C83BEA"/>
    <w:rsid w:val="00C83D8A"/>
    <w:rsid w:val="00C84F47"/>
    <w:rsid w:val="00C86A68"/>
    <w:rsid w:val="00C87F25"/>
    <w:rsid w:val="00C92002"/>
    <w:rsid w:val="00C958E0"/>
    <w:rsid w:val="00CA0335"/>
    <w:rsid w:val="00CA1178"/>
    <w:rsid w:val="00CA1E01"/>
    <w:rsid w:val="00CA4A36"/>
    <w:rsid w:val="00CA7674"/>
    <w:rsid w:val="00CB3BF8"/>
    <w:rsid w:val="00CB62C4"/>
    <w:rsid w:val="00CB7694"/>
    <w:rsid w:val="00CC7C0C"/>
    <w:rsid w:val="00CD1B4A"/>
    <w:rsid w:val="00CD1DA7"/>
    <w:rsid w:val="00CD2BB6"/>
    <w:rsid w:val="00CD3667"/>
    <w:rsid w:val="00CE6A9E"/>
    <w:rsid w:val="00CF0EAA"/>
    <w:rsid w:val="00CF1125"/>
    <w:rsid w:val="00CF2DEE"/>
    <w:rsid w:val="00CF377C"/>
    <w:rsid w:val="00CF5D7E"/>
    <w:rsid w:val="00D05B40"/>
    <w:rsid w:val="00D10060"/>
    <w:rsid w:val="00D11AFD"/>
    <w:rsid w:val="00D12440"/>
    <w:rsid w:val="00D22D53"/>
    <w:rsid w:val="00D23196"/>
    <w:rsid w:val="00D239D3"/>
    <w:rsid w:val="00D23DD9"/>
    <w:rsid w:val="00D24549"/>
    <w:rsid w:val="00D31256"/>
    <w:rsid w:val="00D4076D"/>
    <w:rsid w:val="00D409D5"/>
    <w:rsid w:val="00D41F31"/>
    <w:rsid w:val="00D4212D"/>
    <w:rsid w:val="00D473F5"/>
    <w:rsid w:val="00D60DFB"/>
    <w:rsid w:val="00D60FA7"/>
    <w:rsid w:val="00D62164"/>
    <w:rsid w:val="00D6382F"/>
    <w:rsid w:val="00D64784"/>
    <w:rsid w:val="00D72AF3"/>
    <w:rsid w:val="00D754A7"/>
    <w:rsid w:val="00D76CB3"/>
    <w:rsid w:val="00D850F9"/>
    <w:rsid w:val="00D86A63"/>
    <w:rsid w:val="00D9068B"/>
    <w:rsid w:val="00D95E51"/>
    <w:rsid w:val="00D9715B"/>
    <w:rsid w:val="00D97245"/>
    <w:rsid w:val="00DA3381"/>
    <w:rsid w:val="00DA7088"/>
    <w:rsid w:val="00DB15C3"/>
    <w:rsid w:val="00DB1CC8"/>
    <w:rsid w:val="00DB58AA"/>
    <w:rsid w:val="00DB635B"/>
    <w:rsid w:val="00DB6541"/>
    <w:rsid w:val="00DC3FB9"/>
    <w:rsid w:val="00DC51F4"/>
    <w:rsid w:val="00DC528D"/>
    <w:rsid w:val="00DC7ECD"/>
    <w:rsid w:val="00DC7EFE"/>
    <w:rsid w:val="00DD0C26"/>
    <w:rsid w:val="00DD1119"/>
    <w:rsid w:val="00DD2118"/>
    <w:rsid w:val="00E014C8"/>
    <w:rsid w:val="00E01A6E"/>
    <w:rsid w:val="00E0656D"/>
    <w:rsid w:val="00E11C1C"/>
    <w:rsid w:val="00E155B2"/>
    <w:rsid w:val="00E171E3"/>
    <w:rsid w:val="00E200CF"/>
    <w:rsid w:val="00E219AF"/>
    <w:rsid w:val="00E221D2"/>
    <w:rsid w:val="00E239FA"/>
    <w:rsid w:val="00E2494D"/>
    <w:rsid w:val="00E2594B"/>
    <w:rsid w:val="00E32FCB"/>
    <w:rsid w:val="00E34BAD"/>
    <w:rsid w:val="00E45F47"/>
    <w:rsid w:val="00E54553"/>
    <w:rsid w:val="00E54D95"/>
    <w:rsid w:val="00E554F3"/>
    <w:rsid w:val="00E5595D"/>
    <w:rsid w:val="00E608D3"/>
    <w:rsid w:val="00E62106"/>
    <w:rsid w:val="00E64E64"/>
    <w:rsid w:val="00E667B9"/>
    <w:rsid w:val="00E736C0"/>
    <w:rsid w:val="00E845EC"/>
    <w:rsid w:val="00E87AFA"/>
    <w:rsid w:val="00E9399E"/>
    <w:rsid w:val="00E95385"/>
    <w:rsid w:val="00EA370B"/>
    <w:rsid w:val="00EA76F5"/>
    <w:rsid w:val="00EB44BE"/>
    <w:rsid w:val="00EB48A7"/>
    <w:rsid w:val="00EC0554"/>
    <w:rsid w:val="00ED7146"/>
    <w:rsid w:val="00EE0D0D"/>
    <w:rsid w:val="00EE266B"/>
    <w:rsid w:val="00EE27B2"/>
    <w:rsid w:val="00EE5504"/>
    <w:rsid w:val="00EF0179"/>
    <w:rsid w:val="00EF28D2"/>
    <w:rsid w:val="00EF2E85"/>
    <w:rsid w:val="00F06C1F"/>
    <w:rsid w:val="00F10DE9"/>
    <w:rsid w:val="00F13E4A"/>
    <w:rsid w:val="00F2215D"/>
    <w:rsid w:val="00F226EE"/>
    <w:rsid w:val="00F23098"/>
    <w:rsid w:val="00F30BFB"/>
    <w:rsid w:val="00F312B0"/>
    <w:rsid w:val="00F3524C"/>
    <w:rsid w:val="00F375A8"/>
    <w:rsid w:val="00F411F8"/>
    <w:rsid w:val="00F434FA"/>
    <w:rsid w:val="00F453A5"/>
    <w:rsid w:val="00F455AE"/>
    <w:rsid w:val="00F56C04"/>
    <w:rsid w:val="00F6205C"/>
    <w:rsid w:val="00F62F95"/>
    <w:rsid w:val="00F6351E"/>
    <w:rsid w:val="00F6365E"/>
    <w:rsid w:val="00F72E8F"/>
    <w:rsid w:val="00F740CA"/>
    <w:rsid w:val="00F870C6"/>
    <w:rsid w:val="00F96747"/>
    <w:rsid w:val="00F97188"/>
    <w:rsid w:val="00FA62C3"/>
    <w:rsid w:val="00FC02D3"/>
    <w:rsid w:val="00FC6208"/>
    <w:rsid w:val="00FC6970"/>
    <w:rsid w:val="00FC7F51"/>
    <w:rsid w:val="00FD39AE"/>
    <w:rsid w:val="00FD5540"/>
    <w:rsid w:val="00FD59E2"/>
    <w:rsid w:val="00FE3E14"/>
    <w:rsid w:val="00FE4DF7"/>
    <w:rsid w:val="00FE4F00"/>
    <w:rsid w:val="00FF2797"/>
    <w:rsid w:val="00FF3A08"/>
    <w:rsid w:val="00FF59BB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16A4C"/>
  <w15:docId w15:val="{010AD5EC-8288-40F7-960A-F314F03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main1">
    <w:name w:val="textmain1"/>
    <w:basedOn w:val="Normal"/>
    <w:rsid w:val="008C25C4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972"/>
    <w:rPr>
      <w:strike w:val="0"/>
      <w:dstrike w:val="0"/>
      <w:color w:val="99CC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0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1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sus.gov/epcd/naics02/def/ND5415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epcd/naics02/def/ND5415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0F30-1472-4955-9D38-6520A0E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Abderrahmane</cp:lastModifiedBy>
  <cp:revision>3</cp:revision>
  <cp:lastPrinted>2019-02-19T17:23:00Z</cp:lastPrinted>
  <dcterms:created xsi:type="dcterms:W3CDTF">2020-01-29T17:05:00Z</dcterms:created>
  <dcterms:modified xsi:type="dcterms:W3CDTF">2020-01-29T17:06:00Z</dcterms:modified>
</cp:coreProperties>
</file>